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4" w:beforeLines="75" w:after="312" w:afterLines="100"/>
        <w:ind w:firstLine="0" w:firstLineChars="0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工作督查</w:t>
      </w:r>
    </w:p>
    <w:p>
      <w:pPr>
        <w:pStyle w:val="32"/>
        <w:ind w:firstLine="560"/>
        <w:rPr>
          <w:rFonts w:hint="eastAsia" w:ascii="仿宋_GB2312" w:hAnsi="仿宋" w:eastAsia="仿宋_GB2312" w:cs="仿宋"/>
          <w:color w:val="auto"/>
          <w:sz w:val="28"/>
          <w:szCs w:val="28"/>
          <w:shd w:val="clear" w:color="auto" w:fill="auto"/>
        </w:rPr>
      </w:pPr>
      <w:r>
        <w:rPr>
          <w:rFonts w:ascii="仿宋_GB2312" w:hAnsi="仿宋" w:eastAsia="仿宋_GB2312" w:cs="仿宋"/>
          <w:color w:val="auto"/>
          <w:sz w:val="28"/>
          <w:szCs w:val="28"/>
          <w:shd w:val="clear" w:color="auto" w:fill="auto"/>
        </w:rPr>
        <w:t>用户登录系统</w:t>
      </w:r>
      <w:r>
        <w:rPr>
          <w:rFonts w:hint="eastAsia" w:ascii="仿宋_GB2312" w:hAnsi="仿宋" w:eastAsia="仿宋_GB2312" w:cs="仿宋"/>
          <w:color w:val="auto"/>
          <w:sz w:val="28"/>
          <w:szCs w:val="28"/>
          <w:shd w:val="clear" w:color="auto" w:fill="auto"/>
        </w:rPr>
        <w:t>，</w:t>
      </w:r>
      <w:r>
        <w:rPr>
          <w:rFonts w:ascii="仿宋_GB2312" w:hAnsi="仿宋" w:eastAsia="仿宋_GB2312" w:cs="仿宋"/>
          <w:color w:val="auto"/>
          <w:sz w:val="28"/>
          <w:szCs w:val="28"/>
          <w:shd w:val="clear" w:color="auto" w:fill="auto"/>
        </w:rPr>
        <w:t>在系统首页点击【</w:t>
      </w:r>
      <w:r>
        <w:rPr>
          <w:rFonts w:hint="eastAsia" w:ascii="仿宋_GB2312" w:hAnsi="仿宋" w:eastAsia="仿宋_GB2312" w:cs="仿宋"/>
          <w:color w:val="auto"/>
          <w:sz w:val="28"/>
          <w:szCs w:val="28"/>
          <w:shd w:val="clear" w:color="auto" w:fill="auto"/>
        </w:rPr>
        <w:t>工作督查</w:t>
      </w:r>
      <w:r>
        <w:rPr>
          <w:rFonts w:ascii="仿宋_GB2312" w:hAnsi="仿宋" w:eastAsia="仿宋_GB2312" w:cs="仿宋"/>
          <w:color w:val="auto"/>
          <w:sz w:val="28"/>
          <w:szCs w:val="28"/>
          <w:shd w:val="clear" w:color="auto" w:fill="auto"/>
        </w:rPr>
        <w:t>】进入</w:t>
      </w:r>
      <w:r>
        <w:rPr>
          <w:rFonts w:hint="eastAsia" w:ascii="仿宋_GB2312" w:hAnsi="仿宋" w:eastAsia="仿宋_GB2312" w:cs="仿宋"/>
          <w:color w:val="auto"/>
          <w:sz w:val="28"/>
          <w:szCs w:val="28"/>
          <w:shd w:val="clear" w:color="auto" w:fill="auto"/>
        </w:rPr>
        <w:t>工作督查模块</w:t>
      </w:r>
      <w:r>
        <w:rPr>
          <w:rFonts w:ascii="仿宋_GB2312" w:hAnsi="仿宋" w:eastAsia="仿宋_GB2312" w:cs="仿宋"/>
          <w:color w:val="auto"/>
          <w:sz w:val="28"/>
          <w:szCs w:val="28"/>
          <w:shd w:val="clear" w:color="auto" w:fill="auto"/>
        </w:rPr>
        <w:t>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1.总体情况</w:t>
      </w:r>
    </w:p>
    <w:p>
      <w:pPr>
        <w:widowControl/>
        <w:spacing w:after="190"/>
        <w:jc w:val="left"/>
      </w:pPr>
      <w:r>
        <w:rPr>
          <w:rFonts w:hint="eastAsia"/>
        </w:rPr>
        <w:t>在首页点击【工作督查】，进入工作督查页面，默认显示“总体情况”页签。列表页显示所选本级及下一级的党组织名称、党组织总数、基层党组织数、党总支数、党支部数、党员总数等信息。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213985" cy="2408555"/>
            <wp:effectExtent l="0" t="0" r="5715" b="0"/>
            <wp:docPr id="3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15987" cy="240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用户点击左侧组织树，可以查询所选择组织及下一级的总体情况。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2.信息完整度情况</w:t>
      </w:r>
    </w:p>
    <w:p>
      <w:pPr>
        <w:widowControl/>
        <w:spacing w:after="190"/>
      </w:pPr>
      <w:r>
        <w:rPr>
          <w:rFonts w:hint="eastAsia"/>
        </w:rPr>
        <w:t>在首页点击【工作督查】，进入工作督查页面，默认显示“总体情况”页签，点击“信息完整度情况”页签。列表页显示所选本级及下一级的党组织名称、基层党组织信息完整度、党员信息完整度、党组织联系人缺失数、党组织联系方式缺失数、公民身份号码空缺数、党员联系方式缺失数、党员家庭地址缺失数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260975" cy="2107565"/>
            <wp:effectExtent l="0" t="0" r="0" b="6985"/>
            <wp:docPr id="3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用户点击左侧组织树，可以查询所选择组织及下一级的信息完整度情况。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3.信息不符合校验情况</w:t>
      </w:r>
    </w:p>
    <w:p>
      <w:pPr>
        <w:widowControl/>
        <w:spacing w:after="190"/>
        <w:jc w:val="left"/>
      </w:pPr>
      <w:r>
        <w:rPr>
          <w:rFonts w:hint="eastAsia"/>
        </w:rPr>
        <w:t>在首页点击【工作督查】，进入工作督查页面，默认显示“总体情况”页签，点击“信息不符合校验情况”页签。列表页显示所选本级及下一级的党组织名称、公民身份号码重复数（省内重复数）、公民身份号码不符合校验规则数、公民身份号码与姓名通过人口库校验数、入党时间早于1921年7月的党员数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37150" cy="2129790"/>
            <wp:effectExtent l="0" t="0" r="6350" b="3810"/>
            <wp:docPr id="4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37150" cy="212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用户点击左侧组织树，可以查询所选择组织及下一级的信息不符合校验情况。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4.党组织设置情况</w:t>
      </w:r>
    </w:p>
    <w:p>
      <w:pPr>
        <w:widowControl/>
        <w:spacing w:after="190"/>
        <w:jc w:val="left"/>
      </w:pPr>
      <w:r>
        <w:rPr>
          <w:rFonts w:hint="eastAsia"/>
        </w:rPr>
        <w:t>在首页点击【工作督查】，进入工作督查页面，默认显示“总体情况”页签，点击“党组织设置情况”页签。列表页显示所选本级及下一级的党组织名称、直属党组织多于300个的党组织数、党员数小于50或大于100的党总支数、党员数51-1000的党支部数（党员数51-100</w:t>
      </w:r>
      <w:r>
        <w:rPr>
          <w:rFonts w:hint="eastAsia"/>
        </w:rPr>
        <w:tab/>
      </w:r>
      <w:r>
        <w:rPr>
          <w:rFonts w:hint="eastAsia"/>
        </w:rPr>
        <w:t>党员数101-500</w:t>
      </w:r>
      <w:r>
        <w:rPr>
          <w:rFonts w:hint="eastAsia"/>
        </w:rPr>
        <w:tab/>
      </w:r>
      <w:r>
        <w:rPr>
          <w:rFonts w:hint="eastAsia"/>
        </w:rPr>
        <w:t>党员数501-1000）、</w:t>
      </w:r>
      <w:r>
        <w:rPr>
          <w:rFonts w:hint="eastAsia"/>
        </w:rPr>
        <w:tab/>
      </w:r>
      <w:r>
        <w:rPr>
          <w:rFonts w:hint="eastAsia"/>
        </w:rPr>
        <w:t>党员数多于1000的党支部数等信息。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210175" cy="2347595"/>
            <wp:effectExtent l="0" t="0" r="9525" b="0"/>
            <wp:docPr id="4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234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用户点击左侧组织树，可以查询所选择组织及下一级的党组织设置情况。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5.个别情况</w:t>
      </w:r>
    </w:p>
    <w:p>
      <w:pPr>
        <w:widowControl/>
        <w:spacing w:after="190"/>
        <w:jc w:val="left"/>
      </w:pPr>
      <w:r>
        <w:rPr>
          <w:rFonts w:hint="eastAsia"/>
        </w:rPr>
        <w:t>在首页点击【工作督查】，进入工作督查页面，默认显示“总体情况”页签，点击“个别情况”页签。列表页显示所选本级及下一级的党组织名称、未配备党组织书记的党组织数、19岁以前入党的党员数、80岁以上老党员数、建国前入党的老党员数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14925" cy="2378710"/>
            <wp:effectExtent l="0" t="0" r="9525" b="2540"/>
            <wp:docPr id="3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用户点击左侧组织树，可以查询所选择组织及下一级的个别情况。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6.组织关系转接情况</w:t>
      </w:r>
    </w:p>
    <w:p>
      <w:pPr>
        <w:widowControl/>
        <w:spacing w:after="190"/>
      </w:pPr>
      <w:r>
        <w:rPr>
          <w:rFonts w:hint="eastAsia"/>
        </w:rPr>
        <w:t>在首页点击【工作督查】，进入工作督查页面，默认显示“总体情况”页签，点击“组织关系转接情况”页签。列表页显示所选本级及下一级的党组织名称、转入党员数、转出党员数、跨省转接党员数、超期未审批党员数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213350" cy="1997710"/>
            <wp:effectExtent l="0" t="0" r="6350" b="2540"/>
            <wp:docPr id="4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13350" cy="199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用户点击左侧组织树，可以查询所选择组织及下一级的组织关系转接情况。</w:t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用户点击【年份】下拉选择框，选择年份选项，可以查询选择年度的组织转接信息。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7.公民身份号码重复人员</w:t>
      </w:r>
    </w:p>
    <w:p>
      <w:pPr>
        <w:widowControl/>
        <w:spacing w:after="190"/>
      </w:pPr>
      <w:r>
        <w:rPr>
          <w:rFonts w:hint="eastAsia"/>
        </w:rPr>
        <w:t>在首页点击【工作督查】，进入工作督查页面，默认显示“总体情况”页签，点击“公民身份号码重复人员”页签。列表页显示所选组织下所有身份证号码重复人员的姓名、公民身份号码、性别、民族、年龄、人员状态、党员类别、所在党支部、操作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53025" cy="1990090"/>
            <wp:effectExtent l="0" t="0" r="9525" b="0"/>
            <wp:docPr id="3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199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用户点击左侧组织树，可以查询所选择组织下所有身份证号码重复人员。</w:t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用户在查询框中，输入党员姓名或者身份证号，点击“查询”按钮，筛选中对应的党员信息。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02225" cy="1882140"/>
            <wp:effectExtent l="0" t="0" r="3175" b="381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02225" cy="188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用户点击所在党组织党支部下的“党组织名称”链接，弹出组织结构树。</w:t>
      </w:r>
    </w:p>
    <w:p>
      <w:pPr>
        <w:widowControl/>
        <w:spacing w:after="190"/>
        <w:ind w:firstLine="0" w:firstLineChars="0"/>
        <w:jc w:val="center"/>
      </w:pPr>
      <w:r>
        <w:drawing>
          <wp:inline distT="0" distB="0" distL="114300" distR="114300">
            <wp:extent cx="4954270" cy="2425700"/>
            <wp:effectExtent l="0" t="0" r="0" b="0"/>
            <wp:docPr id="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54270" cy="242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用户点击任意记录“详情”按钮，弹出党员详细信息。</w:t>
      </w:r>
    </w:p>
    <w:p>
      <w:pPr>
        <w:widowControl/>
        <w:spacing w:after="190"/>
        <w:ind w:firstLine="280" w:firstLineChars="100"/>
        <w:jc w:val="left"/>
      </w:pPr>
      <w:r>
        <w:drawing>
          <wp:inline distT="0" distB="0" distL="114300" distR="114300">
            <wp:extent cx="4888865" cy="2037715"/>
            <wp:effectExtent l="0" t="0" r="6985" b="63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92361" cy="20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用户点击任意记录“删除”按钮，弹出确认删除框，选择“确定”，即从系统中删除此党员信息且无法恢复。</w:t>
      </w:r>
    </w:p>
    <w:p>
      <w:pPr>
        <w:widowControl/>
        <w:spacing w:after="190"/>
        <w:ind w:firstLine="420" w:firstLineChars="0"/>
        <w:jc w:val="left"/>
      </w:pPr>
      <w:r>
        <w:drawing>
          <wp:inline distT="0" distB="0" distL="114300" distR="114300">
            <wp:extent cx="4700905" cy="1967230"/>
            <wp:effectExtent l="0" t="0" r="4445" b="13970"/>
            <wp:docPr id="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00905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8.党组织异常统计</w:t>
      </w:r>
    </w:p>
    <w:p>
      <w:pPr>
        <w:widowControl/>
        <w:spacing w:after="190"/>
      </w:pPr>
      <w:r>
        <w:rPr>
          <w:rFonts w:hint="eastAsia"/>
        </w:rPr>
        <w:t>在首页点击【工作督查】，进入工作督查页面，默认显示“总体情况”页签，点击“党组织异常统计”页签。列表页显示所选本级及下一级的党组织名称、党组织的组织类别不符合标准规范、党组织的组织类别未选择最末级节点、党组织的组织类别为空值、党组织名称带有“测试”或者“test”字样</w:t>
      </w:r>
      <w:r>
        <w:rPr>
          <w:rFonts w:hint="eastAsia"/>
        </w:rPr>
        <w:tab/>
      </w:r>
      <w:r>
        <w:rPr>
          <w:rFonts w:hint="eastAsia"/>
        </w:rPr>
        <w:t>、党组织名称带有“联合党支部”或者“联合支部”字样的党组织，其组织类别未选择“632联合党支部”或者“932临时联合党支部”、党组织的省份代码与规范不符、党组织基本信息集中的“党组织书记”为空值、党组织的班子成员表中，同一党组织的书记职务同时存在两人或两人以上在职、党组织的属地关系未选择最末级节点、党组织的属地关系代码与标准规范不符、党组织的上级党组织id（parentid）无法对应，导致党组织无法显示在党组织树中、非联合党支部同时关联多个单位、党组织名称与单位名称一致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222875" cy="2922905"/>
            <wp:effectExtent l="0" t="0" r="0" b="0"/>
            <wp:docPr id="4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22875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280" w:firstLineChars="100"/>
        <w:jc w:val="left"/>
      </w:pPr>
      <w:r>
        <w:rPr>
          <w:rFonts w:hint="eastAsia"/>
        </w:rPr>
        <w:t>用户点击列表中的数字，弹出具体党组织信息包含名称等。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91125" cy="2323465"/>
            <wp:effectExtent l="0" t="0" r="9525" b="635"/>
            <wp:docPr id="4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32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ind w:firstLine="420" w:firstLineChars="0"/>
        <w:jc w:val="left"/>
      </w:pPr>
      <w:r>
        <w:rPr>
          <w:rFonts w:hint="eastAsia"/>
        </w:rPr>
        <w:t>用户点击左侧组织树，可以查询所选择组织及下一级的总体情况。</w:t>
      </w:r>
    </w:p>
    <w:p>
      <w:pPr>
        <w:pStyle w:val="5"/>
        <w:spacing w:after="190"/>
        <w:rPr>
          <w:rFonts w:ascii="仿宋_GB2312" w:hAnsi="仿宋_GB2312" w:eastAsia="仿宋_GB2312" w:cs="仿宋_GB2312"/>
          <w:b w:val="0"/>
          <w:bCs w:val="0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</w:rPr>
        <w:t>9.党员异常统计</w:t>
      </w:r>
    </w:p>
    <w:p>
      <w:pPr>
        <w:widowControl/>
        <w:spacing w:after="190"/>
        <w:jc w:val="left"/>
      </w:pPr>
      <w:r>
        <w:rPr>
          <w:rFonts w:hint="eastAsia"/>
        </w:rPr>
        <w:t>在首页点击【工作督查】，进入工作督查页面，默认显示“总体情况”页签，点击“党员异常统计”页签。列表页显示所选本级及下一级的党组织名称、非失联党员的出生日期为空值、党员年龄小于18周岁、党员年龄大于100周岁、非失联党员的入党日期为空值、非失联党员的入党日期小于等于出生日期、非失联党员的入党日期早于建党日期或者晚于上报日期、非失联党员的身份证号码为18个0或15个0</w:t>
      </w:r>
      <w:r>
        <w:rPr>
          <w:rFonts w:hint="eastAsia"/>
        </w:rPr>
        <w:tab/>
      </w:r>
      <w:r>
        <w:rPr>
          <w:rFonts w:hint="eastAsia"/>
        </w:rPr>
        <w:t>党员的身份证号为15位、非失联党员的身份证号后三位全是0、非失联党员的身份证号为空值、非流动党员的身份证号重复、非失联党员的民族代码不符合标准规范、非失联党员的学历为空值、非失联党员的性别为空值、党员的人员状态为空值、党员的党员类别代码不符合标准规范、党员的是否流动党员标识为空值、党员的是否失联标识为空值等信息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11750" cy="2828290"/>
            <wp:effectExtent l="0" t="0" r="0" b="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111750" cy="282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jc w:val="left"/>
      </w:pPr>
      <w:r>
        <w:rPr>
          <w:rFonts w:hint="eastAsia"/>
        </w:rPr>
        <w:t>用户点击列表中的数字，弹出具体党员信息包含姓名等。</w:t>
      </w:r>
    </w:p>
    <w:p>
      <w:pPr>
        <w:widowControl/>
        <w:spacing w:after="190"/>
        <w:ind w:firstLine="0" w:firstLineChars="0"/>
        <w:jc w:val="left"/>
      </w:pPr>
      <w:r>
        <w:drawing>
          <wp:inline distT="0" distB="0" distL="114300" distR="114300">
            <wp:extent cx="5175250" cy="2454275"/>
            <wp:effectExtent l="0" t="0" r="6350" b="3175"/>
            <wp:docPr id="4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75250" cy="245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after="190"/>
        <w:jc w:val="left"/>
      </w:pPr>
      <w:r>
        <w:rPr>
          <w:rFonts w:hint="eastAsia"/>
        </w:rPr>
        <w:t>用户点击左侧组织树，可以查询所选择组织及下一级的总体情况。</w:t>
      </w:r>
    </w:p>
    <w:p>
      <w:pPr>
        <w:spacing w:after="190"/>
        <w:ind w:firstLine="0" w:firstLineChars="0"/>
        <w:jc w:val="center"/>
        <w:rPr>
          <w:rFonts w:ascii="Times New Roman" w:hAnsi="Times New Roman" w:eastAsia="仿宋" w:cs="Times New Roma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517504426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13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6A25"/>
    <w:multiLevelType w:val="multilevel"/>
    <w:tmpl w:val="02356A25"/>
    <w:lvl w:ilvl="0" w:tentative="0">
      <w:start w:val="1"/>
      <w:numFmt w:val="decimal"/>
      <w:pStyle w:val="26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32"/>
      </w:rPr>
    </w:lvl>
    <w:lvl w:ilvl="1" w:tentative="0">
      <w:start w:val="1"/>
      <w:numFmt w:val="decimal"/>
      <w:pStyle w:val="24"/>
      <w:lvlText w:val="%1.%2"/>
      <w:lvlJc w:val="left"/>
      <w:pPr>
        <w:ind w:left="0" w:firstLine="0"/>
      </w:pPr>
      <w:rPr>
        <w:rFonts w:hint="default" w:ascii="Times New Roman" w:hAnsi="Times New Roman"/>
        <w:b/>
        <w:i w:val="0"/>
        <w:sz w:val="30"/>
      </w:rPr>
    </w:lvl>
    <w:lvl w:ilvl="2" w:tentative="0">
      <w:start w:val="1"/>
      <w:numFmt w:val="decimal"/>
      <w:pStyle w:val="25"/>
      <w:lvlText w:val="%1.%2.%3"/>
      <w:lvlJc w:val="left"/>
      <w:pPr>
        <w:ind w:left="0" w:firstLine="0"/>
      </w:pPr>
      <w:rPr>
        <w:rFonts w:hint="default" w:ascii="Times New Roman" w:hAnsi="Times New Roman"/>
        <w:b/>
        <w:i w:val="0"/>
        <w:sz w:val="28"/>
      </w:rPr>
    </w:lvl>
    <w:lvl w:ilvl="3" w:tentative="0">
      <w:start w:val="1"/>
      <w:numFmt w:val="decimal"/>
      <w:pStyle w:val="31"/>
      <w:lvlText w:val="%1.%2.%3.%4"/>
      <w:lvlJc w:val="left"/>
      <w:pPr>
        <w:ind w:left="0" w:firstLine="0"/>
      </w:pPr>
      <w:rPr>
        <w:rFonts w:hint="default" w:ascii="Times New Roman" w:hAnsi="Times New Roman"/>
        <w:b/>
        <w:i w:val="0"/>
        <w:sz w:val="24"/>
      </w:rPr>
    </w:lvl>
    <w:lvl w:ilvl="4" w:tentative="0">
      <w:start w:val="1"/>
      <w:numFmt w:val="decimal"/>
      <w:pStyle w:val="28"/>
      <w:lvlText w:val="%1.%2.%3.%4.%5"/>
      <w:lvlJc w:val="left"/>
      <w:pPr>
        <w:ind w:left="0" w:firstLine="0"/>
      </w:pPr>
      <w:rPr>
        <w:rFonts w:hint="default" w:ascii="Times New Roman" w:hAnsi="Times New Roman"/>
        <w:b/>
        <w:i w:val="0"/>
        <w:sz w:val="24"/>
      </w:rPr>
    </w:lvl>
    <w:lvl w:ilvl="5" w:tentative="0">
      <w:start w:val="1"/>
      <w:numFmt w:val="decimal"/>
      <w:pStyle w:val="27"/>
      <w:lvlText w:val="%1.%2.%3.%4.%5.%6"/>
      <w:lvlJc w:val="left"/>
      <w:pPr>
        <w:ind w:left="0" w:firstLine="0"/>
      </w:pPr>
      <w:rPr>
        <w:rFonts w:hint="default" w:ascii="Times New Roman" w:hAnsi="Times New Roman"/>
        <w:b/>
        <w:i w:val="0"/>
        <w:sz w:val="24"/>
      </w:rPr>
    </w:lvl>
    <w:lvl w:ilvl="6" w:tentative="0">
      <w:start w:val="1"/>
      <w:numFmt w:val="decimal"/>
      <w:pStyle w:val="29"/>
      <w:lvlText w:val="%1.%2.%3.%4.%5.%6.%7"/>
      <w:lvlJc w:val="left"/>
      <w:pPr>
        <w:ind w:left="0" w:firstLine="0"/>
      </w:pPr>
      <w:rPr>
        <w:rFonts w:hint="default" w:ascii="Times New Roman" w:hAnsi="Times New Roman"/>
        <w:b/>
        <w:i w:val="0"/>
        <w:sz w:val="24"/>
      </w:rPr>
    </w:lvl>
    <w:lvl w:ilvl="7" w:tentative="0">
      <w:start w:val="1"/>
      <w:numFmt w:val="decimal"/>
      <w:pStyle w:val="30"/>
      <w:lvlText w:val="%1.%2.%3.%4.%5.%6.%7.%8"/>
      <w:lvlJc w:val="left"/>
      <w:pPr>
        <w:ind w:left="0" w:firstLine="0"/>
      </w:pPr>
      <w:rPr>
        <w:rFonts w:hint="default" w:ascii="Times New Roman" w:hAnsi="Times New Roman"/>
        <w:b/>
        <w:i w:val="0"/>
        <w:sz w:val="24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default" w:ascii="Times New Roman" w:hAnsi="Times New Roman"/>
        <w:b/>
        <w:i w:val="0"/>
        <w:sz w:val="24"/>
      </w:rPr>
    </w:lvl>
  </w:abstractNum>
  <w:abstractNum w:abstractNumId="1">
    <w:nsid w:val="070C7B15"/>
    <w:multiLevelType w:val="multilevel"/>
    <w:tmpl w:val="070C7B15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lvlText w:val="%1.%2 "/>
      <w:lvlJc w:val="left"/>
      <w:pPr>
        <w:tabs>
          <w:tab w:val="left" w:pos="567"/>
        </w:tabs>
        <w:ind w:left="567" w:hanging="567"/>
      </w:pPr>
      <w:rPr>
        <w:rFonts w:hint="eastAsia" w:ascii="Times New Roman" w:hAnsi="Times New Roman"/>
        <w:b/>
        <w:bCs w:val="0"/>
        <w:i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4"/>
      <w:lvlText w:val="%1.%2.%3 "/>
      <w:lvlJc w:val="left"/>
      <w:pPr>
        <w:tabs>
          <w:tab w:val="left" w:pos="993"/>
        </w:tabs>
        <w:ind w:left="993" w:hanging="709"/>
      </w:pPr>
      <w:rPr>
        <w:rFonts w:hint="eastAsia" w:ascii="黑体" w:eastAsia="黑体"/>
        <w:b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F5B"/>
    <w:rsid w:val="00015392"/>
    <w:rsid w:val="00032A37"/>
    <w:rsid w:val="000615AF"/>
    <w:rsid w:val="000B4EB0"/>
    <w:rsid w:val="000C5A1E"/>
    <w:rsid w:val="001B5CA5"/>
    <w:rsid w:val="001C56C4"/>
    <w:rsid w:val="0020026B"/>
    <w:rsid w:val="002443A2"/>
    <w:rsid w:val="00316F11"/>
    <w:rsid w:val="003652B2"/>
    <w:rsid w:val="003679EA"/>
    <w:rsid w:val="003A40D5"/>
    <w:rsid w:val="003D6F14"/>
    <w:rsid w:val="00470267"/>
    <w:rsid w:val="004B5EBD"/>
    <w:rsid w:val="004E566F"/>
    <w:rsid w:val="004F7EFC"/>
    <w:rsid w:val="00504979"/>
    <w:rsid w:val="005533F3"/>
    <w:rsid w:val="00643C3E"/>
    <w:rsid w:val="00696D1C"/>
    <w:rsid w:val="006B0482"/>
    <w:rsid w:val="006B1554"/>
    <w:rsid w:val="006E4BD3"/>
    <w:rsid w:val="006E4F5B"/>
    <w:rsid w:val="006F266B"/>
    <w:rsid w:val="0074431B"/>
    <w:rsid w:val="00880E2A"/>
    <w:rsid w:val="008B39A4"/>
    <w:rsid w:val="008C02AA"/>
    <w:rsid w:val="008F1587"/>
    <w:rsid w:val="009034AB"/>
    <w:rsid w:val="00913A88"/>
    <w:rsid w:val="0092738C"/>
    <w:rsid w:val="00981258"/>
    <w:rsid w:val="00A30347"/>
    <w:rsid w:val="00A3557E"/>
    <w:rsid w:val="00A83CBB"/>
    <w:rsid w:val="00AB6CED"/>
    <w:rsid w:val="00AD6AA5"/>
    <w:rsid w:val="00B40668"/>
    <w:rsid w:val="00B64C21"/>
    <w:rsid w:val="00C4315C"/>
    <w:rsid w:val="00C80D2F"/>
    <w:rsid w:val="00CB7E6E"/>
    <w:rsid w:val="00CE259D"/>
    <w:rsid w:val="00D17A8C"/>
    <w:rsid w:val="00D64F86"/>
    <w:rsid w:val="00E25DF7"/>
    <w:rsid w:val="00FB6AF0"/>
    <w:rsid w:val="05A75696"/>
    <w:rsid w:val="0D4827EB"/>
    <w:rsid w:val="10EF090B"/>
    <w:rsid w:val="15B23A1B"/>
    <w:rsid w:val="16C16121"/>
    <w:rsid w:val="221534C1"/>
    <w:rsid w:val="23A525A0"/>
    <w:rsid w:val="27AC0E51"/>
    <w:rsid w:val="2A7E37CF"/>
    <w:rsid w:val="2B586742"/>
    <w:rsid w:val="42C647A9"/>
    <w:rsid w:val="46801ED3"/>
    <w:rsid w:val="564070EC"/>
    <w:rsid w:val="595E0248"/>
    <w:rsid w:val="687870B9"/>
    <w:rsid w:val="6BEB56AF"/>
    <w:rsid w:val="7875543A"/>
    <w:rsid w:val="7D4E1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0" w:firstLineChars="200"/>
      <w:jc w:val="both"/>
    </w:pPr>
    <w:rPr>
      <w:rFonts w:ascii="仿宋_GB2312" w:hAnsi="仿宋" w:eastAsia="仿宋_GB2312" w:cs="仿宋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120" w:after="120" w:line="578" w:lineRule="auto"/>
      <w:ind w:firstLine="0" w:firstLineChars="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9"/>
    <w:pPr>
      <w:keepNext/>
      <w:keepLines/>
      <w:ind w:firstLine="0" w:firstLineChars="0"/>
      <w:outlineLvl w:val="3"/>
    </w:pPr>
    <w:rPr>
      <w:rFonts w:ascii="Cambria" w:hAnsi="Cambria" w:eastAsia="宋体" w:cs="Times New Roman"/>
      <w:b/>
      <w:bCs/>
    </w:rPr>
  </w:style>
  <w:style w:type="paragraph" w:styleId="6">
    <w:name w:val="heading 5"/>
    <w:basedOn w:val="1"/>
    <w:next w:val="1"/>
    <w:link w:val="35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</w:rPr>
  </w:style>
  <w:style w:type="paragraph" w:styleId="7">
    <w:name w:val="heading 6"/>
    <w:basedOn w:val="1"/>
    <w:next w:val="1"/>
    <w:link w:val="34"/>
    <w:semiHidden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6"/>
    <w:semiHidden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7"/>
    <w:semiHidden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0"/>
    <w:pPr>
      <w:ind w:firstLine="420"/>
    </w:pPr>
  </w:style>
  <w:style w:type="paragraph" w:styleId="11">
    <w:name w:val="Document Map"/>
    <w:basedOn w:val="1"/>
    <w:link w:val="21"/>
    <w:unhideWhenUsed/>
    <w:qFormat/>
    <w:uiPriority w:val="99"/>
    <w:rPr>
      <w:rFonts w:ascii="宋体" w:eastAsia="宋体"/>
      <w:sz w:val="18"/>
      <w:szCs w:val="18"/>
    </w:rPr>
  </w:style>
  <w:style w:type="paragraph" w:styleId="12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7">
    <w:name w:val="标题 1 字符"/>
    <w:basedOn w:val="16"/>
    <w:link w:val="2"/>
    <w:qFormat/>
    <w:uiPriority w:val="9"/>
    <w:rPr>
      <w:rFonts w:ascii="仿宋_GB2312" w:hAnsi="仿宋" w:eastAsia="仿宋_GB2312" w:cs="仿宋"/>
      <w:b/>
      <w:bCs/>
      <w:kern w:val="44"/>
      <w:sz w:val="32"/>
      <w:szCs w:val="44"/>
    </w:rPr>
  </w:style>
  <w:style w:type="character" w:customStyle="1" w:styleId="18">
    <w:name w:val="页眉 字符"/>
    <w:basedOn w:val="16"/>
    <w:link w:val="14"/>
    <w:semiHidden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19">
    <w:name w:val="页脚 字符"/>
    <w:basedOn w:val="16"/>
    <w:link w:val="13"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20">
    <w:name w:val="批注框文本 字符"/>
    <w:basedOn w:val="16"/>
    <w:link w:val="12"/>
    <w:semiHidden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21">
    <w:name w:val="文档结构图 字符"/>
    <w:basedOn w:val="16"/>
    <w:link w:val="11"/>
    <w:semiHidden/>
    <w:qFormat/>
    <w:uiPriority w:val="99"/>
    <w:rPr>
      <w:rFonts w:ascii="宋体" w:hAnsi="仿宋" w:eastAsia="宋体" w:cs="仿宋"/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/>
    </w:pPr>
  </w:style>
  <w:style w:type="character" w:customStyle="1" w:styleId="23">
    <w:name w:val="2级标题 字符"/>
    <w:link w:val="24"/>
    <w:qFormat/>
    <w:uiPriority w:val="0"/>
    <w:rPr>
      <w:rFonts w:ascii="黑体" w:hAnsi="黑体" w:eastAsia="黑体"/>
      <w:b/>
      <w:bCs/>
      <w:sz w:val="30"/>
      <w:szCs w:val="30"/>
    </w:rPr>
  </w:style>
  <w:style w:type="paragraph" w:customStyle="1" w:styleId="24">
    <w:name w:val="2级标题"/>
    <w:basedOn w:val="3"/>
    <w:next w:val="1"/>
    <w:link w:val="23"/>
    <w:qFormat/>
    <w:uiPriority w:val="0"/>
    <w:pPr>
      <w:numPr>
        <w:ilvl w:val="1"/>
        <w:numId w:val="2"/>
      </w:numPr>
      <w:tabs>
        <w:tab w:val="left" w:pos="567"/>
      </w:tabs>
      <w:snapToGrid w:val="0"/>
      <w:ind w:firstLineChars="0"/>
    </w:pPr>
    <w:rPr>
      <w:rFonts w:ascii="黑体" w:hAnsi="黑体" w:eastAsia="黑体" w:cs="Times New Roman"/>
      <w:kern w:val="0"/>
      <w:sz w:val="30"/>
      <w:szCs w:val="30"/>
    </w:rPr>
  </w:style>
  <w:style w:type="paragraph" w:customStyle="1" w:styleId="25">
    <w:name w:val="3级标题"/>
    <w:basedOn w:val="4"/>
    <w:next w:val="1"/>
    <w:qFormat/>
    <w:uiPriority w:val="0"/>
    <w:pPr>
      <w:numPr>
        <w:numId w:val="2"/>
      </w:numPr>
      <w:snapToGrid w:val="0"/>
      <w:spacing w:before="260" w:after="260" w:line="416" w:lineRule="auto"/>
    </w:pPr>
    <w:rPr>
      <w:rFonts w:ascii="黑体" w:hAnsi="黑体" w:eastAsia="黑体" w:cstheme="minorBidi"/>
      <w:sz w:val="28"/>
      <w:szCs w:val="28"/>
    </w:rPr>
  </w:style>
  <w:style w:type="paragraph" w:customStyle="1" w:styleId="26">
    <w:name w:val="1级标题"/>
    <w:basedOn w:val="2"/>
    <w:next w:val="1"/>
    <w:qFormat/>
    <w:uiPriority w:val="0"/>
    <w:pPr>
      <w:numPr>
        <w:ilvl w:val="0"/>
        <w:numId w:val="2"/>
      </w:numPr>
      <w:snapToGrid w:val="0"/>
      <w:spacing w:before="340" w:after="330"/>
    </w:pPr>
    <w:rPr>
      <w:rFonts w:ascii="黑体" w:hAnsi="黑体" w:eastAsia="黑体" w:cstheme="minorBidi"/>
      <w:szCs w:val="32"/>
    </w:rPr>
  </w:style>
  <w:style w:type="paragraph" w:customStyle="1" w:styleId="27">
    <w:name w:val="6级标题"/>
    <w:basedOn w:val="7"/>
    <w:next w:val="1"/>
    <w:qFormat/>
    <w:uiPriority w:val="0"/>
    <w:pPr>
      <w:numPr>
        <w:ilvl w:val="5"/>
        <w:numId w:val="2"/>
      </w:numPr>
      <w:snapToGrid w:val="0"/>
      <w:ind w:left="420" w:hanging="420" w:firstLineChars="0"/>
    </w:pPr>
    <w:rPr>
      <w:rFonts w:ascii="黑体" w:hAnsi="黑体" w:eastAsia="黑体" w:cs="Times New Roman"/>
      <w:color w:val="333333"/>
    </w:rPr>
  </w:style>
  <w:style w:type="paragraph" w:customStyle="1" w:styleId="28">
    <w:name w:val="5级标题"/>
    <w:basedOn w:val="6"/>
    <w:next w:val="1"/>
    <w:qFormat/>
    <w:uiPriority w:val="0"/>
    <w:pPr>
      <w:numPr>
        <w:ilvl w:val="4"/>
        <w:numId w:val="2"/>
      </w:numPr>
      <w:snapToGrid w:val="0"/>
      <w:ind w:left="420" w:hanging="420" w:firstLineChars="0"/>
      <w:jc w:val="left"/>
    </w:pPr>
    <w:rPr>
      <w:rFonts w:ascii="黑体" w:hAnsi="黑体" w:eastAsia="黑体" w:cs="Times New Roman"/>
      <w:color w:val="333333"/>
      <w:sz w:val="24"/>
      <w:szCs w:val="24"/>
    </w:rPr>
  </w:style>
  <w:style w:type="paragraph" w:customStyle="1" w:styleId="29">
    <w:name w:val="7级标题"/>
    <w:basedOn w:val="8"/>
    <w:next w:val="1"/>
    <w:qFormat/>
    <w:uiPriority w:val="0"/>
    <w:pPr>
      <w:numPr>
        <w:ilvl w:val="6"/>
        <w:numId w:val="2"/>
      </w:numPr>
      <w:snapToGrid w:val="0"/>
      <w:ind w:left="420" w:hanging="420" w:firstLineChars="0"/>
    </w:pPr>
    <w:rPr>
      <w:rFonts w:ascii="黑体" w:hAnsi="黑体" w:eastAsia="黑体" w:cs="Arial"/>
      <w:color w:val="333333"/>
    </w:rPr>
  </w:style>
  <w:style w:type="paragraph" w:customStyle="1" w:styleId="30">
    <w:name w:val="8级标题"/>
    <w:basedOn w:val="9"/>
    <w:next w:val="1"/>
    <w:qFormat/>
    <w:uiPriority w:val="0"/>
    <w:pPr>
      <w:numPr>
        <w:ilvl w:val="7"/>
        <w:numId w:val="2"/>
      </w:numPr>
      <w:snapToGrid w:val="0"/>
      <w:ind w:left="420" w:hanging="420" w:firstLineChars="0"/>
    </w:pPr>
    <w:rPr>
      <w:rFonts w:ascii="黑体" w:hAnsi="黑体" w:eastAsia="黑体" w:cs="Times New Roman"/>
      <w:b/>
      <w:bCs/>
      <w:color w:val="333333"/>
    </w:rPr>
  </w:style>
  <w:style w:type="paragraph" w:customStyle="1" w:styleId="31">
    <w:name w:val="4级标题"/>
    <w:basedOn w:val="5"/>
    <w:next w:val="1"/>
    <w:qFormat/>
    <w:uiPriority w:val="0"/>
    <w:pPr>
      <w:numPr>
        <w:ilvl w:val="3"/>
        <w:numId w:val="2"/>
      </w:numPr>
      <w:snapToGrid w:val="0"/>
      <w:spacing w:before="280" w:line="376" w:lineRule="auto"/>
    </w:pPr>
    <w:rPr>
      <w:rFonts w:ascii="黑体" w:hAnsi="黑体" w:eastAsia="黑体"/>
      <w:color w:val="333333"/>
      <w:sz w:val="24"/>
      <w:szCs w:val="24"/>
    </w:rPr>
  </w:style>
  <w:style w:type="paragraph" w:customStyle="1" w:styleId="32">
    <w:name w:val="ZZB正文"/>
    <w:basedOn w:val="1"/>
    <w:next w:val="1"/>
    <w:qFormat/>
    <w:uiPriority w:val="0"/>
    <w:pPr>
      <w:snapToGrid w:val="0"/>
      <w:spacing w:line="360" w:lineRule="auto"/>
      <w:ind w:firstLine="480"/>
    </w:pPr>
    <w:rPr>
      <w:rFonts w:ascii="Times New Roman" w:hAnsi="Times New Roman" w:eastAsia="宋体" w:cs="Arial"/>
      <w:color w:val="333333"/>
      <w:sz w:val="24"/>
      <w:szCs w:val="21"/>
      <w:shd w:val="clear" w:color="auto" w:fill="FFFFFF"/>
    </w:rPr>
  </w:style>
  <w:style w:type="character" w:customStyle="1" w:styleId="33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34">
    <w:name w:val="标题 6 字符"/>
    <w:basedOn w:val="16"/>
    <w:link w:val="7"/>
    <w:semiHidden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35">
    <w:name w:val="标题 5 字符"/>
    <w:basedOn w:val="16"/>
    <w:link w:val="6"/>
    <w:semiHidden/>
    <w:uiPriority w:val="9"/>
    <w:rPr>
      <w:rFonts w:ascii="仿宋_GB2312" w:hAnsi="仿宋" w:eastAsia="仿宋_GB2312" w:cs="仿宋"/>
      <w:b/>
      <w:bCs/>
      <w:kern w:val="2"/>
      <w:sz w:val="28"/>
      <w:szCs w:val="28"/>
    </w:rPr>
  </w:style>
  <w:style w:type="character" w:customStyle="1" w:styleId="36">
    <w:name w:val="标题 7 字符"/>
    <w:basedOn w:val="16"/>
    <w:link w:val="8"/>
    <w:semiHidden/>
    <w:qFormat/>
    <w:uiPriority w:val="9"/>
    <w:rPr>
      <w:rFonts w:ascii="仿宋_GB2312" w:hAnsi="仿宋" w:eastAsia="仿宋_GB2312" w:cs="仿宋"/>
      <w:b/>
      <w:bCs/>
      <w:kern w:val="2"/>
      <w:sz w:val="24"/>
      <w:szCs w:val="24"/>
    </w:rPr>
  </w:style>
  <w:style w:type="character" w:customStyle="1" w:styleId="37">
    <w:name w:val="标题 8 字符"/>
    <w:basedOn w:val="16"/>
    <w:link w:val="9"/>
    <w:semiHidden/>
    <w:qFormat/>
    <w:uiPriority w:val="9"/>
    <w:rPr>
      <w:rFonts w:asciiTheme="majorHAnsi" w:hAnsiTheme="majorHAnsi" w:eastAsiaTheme="majorEastAsia" w:cstheme="majorBidi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340</Words>
  <Characters>1940</Characters>
  <Lines>16</Lines>
  <Paragraphs>4</Paragraphs>
  <TotalTime>4</TotalTime>
  <ScaleCrop>false</ScaleCrop>
  <LinksUpToDate>false</LinksUpToDate>
  <CharactersWithSpaces>2276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2017-11-15T02:13:00Z</dcterms:created>
  <dc:creator>ADMIN</dc:creator>
  <cp:lastModifiedBy>hellen</cp:lastModifiedBy>
  <dcterms:modified xsi:type="dcterms:W3CDTF">2020-09-17T08:30:03Z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